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47" w:rsidRDefault="00A359D9">
      <w:pPr>
        <w:pStyle w:val="Standard"/>
        <w:jc w:val="both"/>
        <w:rPr>
          <w:b/>
        </w:rPr>
      </w:pPr>
      <w:proofErr w:type="gramStart"/>
      <w:r>
        <w:rPr>
          <w:b/>
        </w:rPr>
        <w:t>EXCELENTÍSSIMO SENHOR JUIZ DE DIREITO</w:t>
      </w:r>
      <w:proofErr w:type="gramEnd"/>
      <w:r>
        <w:rPr>
          <w:b/>
        </w:rPr>
        <w:t xml:space="preserve"> DA ÚNICA VARA DA COMARCA DE ************-CE</w:t>
      </w:r>
    </w:p>
    <w:p w:rsidR="00341747" w:rsidRDefault="00341747">
      <w:pPr>
        <w:pStyle w:val="Standard"/>
        <w:jc w:val="both"/>
        <w:rPr>
          <w:b/>
        </w:rPr>
      </w:pPr>
    </w:p>
    <w:tbl>
      <w:tblPr>
        <w:tblW w:w="8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8"/>
        <w:gridCol w:w="6598"/>
      </w:tblGrid>
      <w:tr w:rsidR="00341747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747" w:rsidRDefault="00A359D9">
            <w:pPr>
              <w:pStyle w:val="Standard"/>
            </w:pPr>
            <w:r>
              <w:t>Processo nº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747" w:rsidRDefault="00A359D9">
            <w:pPr>
              <w:pStyle w:val="Standard"/>
            </w:pPr>
            <w:r>
              <w:t>Nº MP</w:t>
            </w:r>
          </w:p>
        </w:tc>
      </w:tr>
      <w:tr w:rsidR="00341747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747" w:rsidRDefault="00A359D9">
            <w:pPr>
              <w:pStyle w:val="Standard"/>
            </w:pPr>
            <w:r>
              <w:t>Natureza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747" w:rsidRDefault="00A359D9">
            <w:pPr>
              <w:pStyle w:val="Standard"/>
            </w:pPr>
            <w:r>
              <w:t>Ação Civil Pública com Pedido Liminar</w:t>
            </w:r>
          </w:p>
        </w:tc>
      </w:tr>
      <w:tr w:rsidR="00341747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747" w:rsidRDefault="00A359D9">
            <w:pPr>
              <w:pStyle w:val="Standard"/>
            </w:pPr>
            <w:r>
              <w:t>Requerente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747" w:rsidRDefault="00A359D9">
            <w:pPr>
              <w:pStyle w:val="Standard"/>
            </w:pPr>
            <w:r>
              <w:t xml:space="preserve">Ministério Público do </w:t>
            </w:r>
            <w:r>
              <w:t>Estado do Ceará</w:t>
            </w:r>
          </w:p>
        </w:tc>
      </w:tr>
      <w:tr w:rsidR="00341747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747" w:rsidRDefault="00A359D9">
            <w:pPr>
              <w:pStyle w:val="Standard"/>
            </w:pPr>
            <w:r>
              <w:t>Requerido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747" w:rsidRDefault="00A359D9">
            <w:pPr>
              <w:pStyle w:val="Standard"/>
            </w:pPr>
            <w:r>
              <w:t>********************</w:t>
            </w:r>
          </w:p>
        </w:tc>
      </w:tr>
    </w:tbl>
    <w:p w:rsidR="00341747" w:rsidRDefault="00341747">
      <w:pPr>
        <w:pStyle w:val="Standard"/>
        <w:rPr>
          <w:b/>
        </w:rPr>
      </w:pPr>
    </w:p>
    <w:p w:rsidR="00341747" w:rsidRDefault="00341747">
      <w:pPr>
        <w:pStyle w:val="Standard"/>
        <w:rPr>
          <w:b/>
        </w:rPr>
      </w:pPr>
    </w:p>
    <w:p w:rsidR="00341747" w:rsidRDefault="00A359D9">
      <w:pPr>
        <w:pStyle w:val="Standard"/>
        <w:rPr>
          <w:b/>
          <w:i/>
          <w:u w:val="single"/>
          <w:shd w:val="clear" w:color="auto" w:fill="B0B0B0"/>
        </w:rPr>
      </w:pPr>
      <w:r>
        <w:rPr>
          <w:b/>
          <w:i/>
          <w:u w:val="single"/>
          <w:shd w:val="clear" w:color="auto" w:fill="B0B0B0"/>
        </w:rPr>
        <w:t>AÇÃO CIVIL PÚBLICA</w:t>
      </w:r>
    </w:p>
    <w:p w:rsidR="00341747" w:rsidRDefault="00341747">
      <w:pPr>
        <w:pStyle w:val="Standard"/>
        <w:rPr>
          <w:b/>
        </w:rPr>
      </w:pPr>
    </w:p>
    <w:p w:rsidR="00341747" w:rsidRDefault="00341747">
      <w:pPr>
        <w:pStyle w:val="Standard"/>
        <w:rPr>
          <w:b/>
        </w:rPr>
      </w:pPr>
    </w:p>
    <w:p w:rsidR="00341747" w:rsidRDefault="00341747">
      <w:pPr>
        <w:pStyle w:val="Standard"/>
        <w:rPr>
          <w:b/>
        </w:rPr>
      </w:pPr>
    </w:p>
    <w:p w:rsidR="00341747" w:rsidRDefault="00A359D9">
      <w:pPr>
        <w:pStyle w:val="Standard"/>
        <w:ind w:firstLine="1417"/>
        <w:jc w:val="both"/>
      </w:pPr>
      <w:r>
        <w:t xml:space="preserve">O </w:t>
      </w:r>
      <w:r>
        <w:rPr>
          <w:b/>
        </w:rPr>
        <w:t>Ministério Público do Estado do Ceará</w:t>
      </w:r>
      <w:r>
        <w:t xml:space="preserve">, por seu Membro que ao final subscreve, em respondência pela Promotoria de Justiça de ************, vem à ilustre presença de Vossa Excelência </w:t>
      </w:r>
      <w:r>
        <w:t xml:space="preserve">apresentar </w:t>
      </w:r>
      <w:r>
        <w:rPr>
          <w:b/>
        </w:rPr>
        <w:t>AÇÃO CIVIL PÚBLICA COM PEDIDO LIMINAR</w:t>
      </w:r>
      <w:r>
        <w:t xml:space="preserve"> em face de</w:t>
      </w:r>
    </w:p>
    <w:p w:rsidR="00341747" w:rsidRDefault="00341747">
      <w:pPr>
        <w:pStyle w:val="Standard"/>
        <w:ind w:firstLine="1417"/>
        <w:jc w:val="both"/>
      </w:pPr>
    </w:p>
    <w:tbl>
      <w:tblPr>
        <w:tblW w:w="7212" w:type="dxa"/>
        <w:tblInd w:w="1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2"/>
      </w:tblGrid>
      <w:tr w:rsidR="00341747">
        <w:tblPrEx>
          <w:tblCellMar>
            <w:top w:w="0" w:type="dxa"/>
            <w:bottom w:w="0" w:type="dxa"/>
          </w:tblCellMar>
        </w:tblPrEx>
        <w:tc>
          <w:tcPr>
            <w:tcW w:w="7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747" w:rsidRDefault="00A359D9">
            <w:pPr>
              <w:pStyle w:val="Standard"/>
              <w:jc w:val="both"/>
            </w:pPr>
            <w:r>
              <w:rPr>
                <w:b/>
              </w:rPr>
              <w:t>********************</w:t>
            </w:r>
            <w:r>
              <w:t xml:space="preserve"> </w:t>
            </w:r>
            <w:r>
              <w:rPr>
                <w:b/>
              </w:rPr>
              <w:t>()</w:t>
            </w:r>
            <w:r>
              <w:t xml:space="preserve">, brasileiro, casado, CPF </w:t>
            </w:r>
            <w:proofErr w:type="gramStart"/>
            <w:r>
              <w:t>nº ,</w:t>
            </w:r>
            <w:proofErr w:type="gramEnd"/>
            <w:r>
              <w:t xml:space="preserve"> RG nº , residente na  ************-CE</w:t>
            </w:r>
          </w:p>
        </w:tc>
      </w:tr>
    </w:tbl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Pelos fatos e fundamentos a seguir aduzidos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jc w:val="both"/>
        <w:rPr>
          <w:b/>
          <w:shd w:val="clear" w:color="auto" w:fill="B0B0B0"/>
        </w:rPr>
      </w:pPr>
      <w:r>
        <w:rPr>
          <w:b/>
          <w:shd w:val="clear" w:color="auto" w:fill="B0B0B0"/>
        </w:rPr>
        <w:t xml:space="preserve">1. DOS FATOS: </w:t>
      </w:r>
      <w:r>
        <w:rPr>
          <w:b/>
          <w:shd w:val="clear" w:color="auto" w:fill="B0B0B0"/>
        </w:rPr>
        <w:t xml:space="preserve">                                                                                                                   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No dia ********** chegou ao conhecimento do Ministério Público uma representação anônima, dando conta de que o candidato ao Conselho Tutela</w:t>
      </w:r>
      <w:r>
        <w:t xml:space="preserve">r de ************ </w:t>
      </w:r>
      <w:r>
        <w:rPr>
          <w:b/>
        </w:rPr>
        <w:t>********************</w:t>
      </w:r>
      <w:r>
        <w:t xml:space="preserve"> (número de campanha ****), estava postando nas redes sociais (</w:t>
      </w:r>
      <w:proofErr w:type="spellStart"/>
      <w:r>
        <w:t>Facebook</w:t>
      </w:r>
      <w:proofErr w:type="spellEnd"/>
      <w:r>
        <w:t>) vídeos e fotos em que ele aparece realizando doações de cestas básicas para duas famílias da comunidade ***********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A representação veio acompan</w:t>
      </w:r>
      <w:r>
        <w:t>hada de duas fotografias, em que o candidato aparece ao lado das famílias e das cestas básicas doadas.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Ela foi autuada no Procedimento Administrativo nº, que foi instaurado para fiscalizar a eleição para o Conselho Tutelar.</w:t>
      </w:r>
    </w:p>
    <w:p w:rsidR="00341747" w:rsidRDefault="00A359D9">
      <w:pPr>
        <w:pStyle w:val="Standard"/>
        <w:ind w:firstLine="1417"/>
        <w:jc w:val="both"/>
      </w:pPr>
      <w:r>
        <w:t>******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jc w:val="both"/>
        <w:rPr>
          <w:b/>
          <w:shd w:val="clear" w:color="auto" w:fill="B0B0B0"/>
        </w:rPr>
      </w:pPr>
      <w:r>
        <w:rPr>
          <w:b/>
          <w:shd w:val="clear" w:color="auto" w:fill="B0B0B0"/>
        </w:rPr>
        <w:t>2. DOS FUNDAMENTOS JURÍ</w:t>
      </w:r>
      <w:r>
        <w:rPr>
          <w:b/>
          <w:shd w:val="clear" w:color="auto" w:fill="B0B0B0"/>
        </w:rPr>
        <w:t xml:space="preserve">DICOS:                                                                           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O art. 132 da Lei nº 8.069/90 dispõe que:</w:t>
      </w:r>
    </w:p>
    <w:p w:rsidR="00341747" w:rsidRDefault="00341747">
      <w:pPr>
        <w:pStyle w:val="Standard"/>
        <w:ind w:firstLine="1417"/>
        <w:jc w:val="both"/>
      </w:pPr>
    </w:p>
    <w:tbl>
      <w:tblPr>
        <w:tblW w:w="7217" w:type="dxa"/>
        <w:tblInd w:w="13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7"/>
      </w:tblGrid>
      <w:tr w:rsidR="00341747">
        <w:tblPrEx>
          <w:tblCellMar>
            <w:top w:w="0" w:type="dxa"/>
            <w:bottom w:w="0" w:type="dxa"/>
          </w:tblCellMar>
        </w:tblPrEx>
        <w:tc>
          <w:tcPr>
            <w:tcW w:w="7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747" w:rsidRDefault="00A359D9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 xml:space="preserve">Art. 132. Em cada Município e em cada Região Administrativa do Distrito Federal haverá, no mínimo, 1 (um) Conselho Tutelar como </w:t>
            </w:r>
            <w:r>
              <w:rPr>
                <w:i/>
              </w:rPr>
              <w:t xml:space="preserve">órgão integrante da administração pública local, composto de 5 (cinco) membros, escolhidos </w:t>
            </w:r>
            <w:r>
              <w:rPr>
                <w:i/>
              </w:rPr>
              <w:lastRenderedPageBreak/>
              <w:t>pela população local para mandato de 4 (quatro) anos, permitida recondução por novos processos de escolha.</w:t>
            </w:r>
          </w:p>
        </w:tc>
      </w:tr>
    </w:tbl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 xml:space="preserve">A eleição para o Conselho Tutelar foi disciplinada pelo </w:t>
      </w:r>
      <w:r>
        <w:t>CONANDA na Resolução nº 170, que dispõe no seu art. 5º, III</w:t>
      </w:r>
      <w:r w:rsidR="00AA4322">
        <w:rPr>
          <w:rStyle w:val="Refdenotaderodap"/>
        </w:rPr>
        <w:footnoteReference w:id="1"/>
      </w:r>
      <w:r>
        <w:t>, que:</w:t>
      </w:r>
    </w:p>
    <w:p w:rsidR="00341747" w:rsidRDefault="00341747">
      <w:pPr>
        <w:pStyle w:val="Standard"/>
        <w:ind w:firstLine="1417"/>
        <w:jc w:val="both"/>
      </w:pPr>
    </w:p>
    <w:tbl>
      <w:tblPr>
        <w:tblW w:w="7231" w:type="dxa"/>
        <w:tblInd w:w="13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1"/>
      </w:tblGrid>
      <w:tr w:rsidR="00341747">
        <w:tblPrEx>
          <w:tblCellMar>
            <w:top w:w="0" w:type="dxa"/>
            <w:bottom w:w="0" w:type="dxa"/>
          </w:tblCellMar>
        </w:tblPrEx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747" w:rsidRDefault="00A359D9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>Art. 5º O processo de escolha dos membros do Conselho Tutelar deverá, preferencialmente, observar as seguintes diretrizes:</w:t>
            </w:r>
          </w:p>
          <w:p w:rsidR="00341747" w:rsidRDefault="00341747">
            <w:pPr>
              <w:pStyle w:val="Standard"/>
              <w:jc w:val="both"/>
              <w:rPr>
                <w:i/>
              </w:rPr>
            </w:pPr>
          </w:p>
          <w:p w:rsidR="00341747" w:rsidRDefault="00A359D9">
            <w:pPr>
              <w:pStyle w:val="Standard"/>
              <w:jc w:val="both"/>
            </w:pPr>
            <w:r>
              <w:rPr>
                <w:i/>
              </w:rPr>
              <w:t>I - Processo de escolha mediante sufrágio universal e direto, pe</w:t>
            </w:r>
            <w:r>
              <w:rPr>
                <w:i/>
              </w:rPr>
              <w:t>lo voto facultativo e secreto dos eleitores do respectivo município ou do Distrito Federal, realizado em data unificada em todo território nacional, a cada quatro anos, no primeiro domingo do mês de outubro do ano subsequente ao da eleição presidencial, se</w:t>
            </w:r>
            <w:r>
              <w:rPr>
                <w:i/>
              </w:rPr>
              <w:t>ndo estabelecido em lei municipal ou do Distrito Federal, sob a responsabilidade do Conselho Municipal ou do Distrito Federal dos Direitos da Criança e do Adolescente;</w:t>
            </w:r>
          </w:p>
          <w:p w:rsidR="00341747" w:rsidRDefault="00341747">
            <w:pPr>
              <w:pStyle w:val="Standard"/>
              <w:jc w:val="both"/>
              <w:rPr>
                <w:i/>
              </w:rPr>
            </w:pPr>
          </w:p>
          <w:p w:rsidR="00341747" w:rsidRDefault="00A359D9">
            <w:pPr>
              <w:pStyle w:val="Standard"/>
              <w:jc w:val="both"/>
              <w:rPr>
                <w:i/>
              </w:rPr>
            </w:pPr>
            <w:r>
              <w:rPr>
                <w:i/>
              </w:rPr>
              <w:t xml:space="preserve">II - </w:t>
            </w:r>
            <w:proofErr w:type="gramStart"/>
            <w:r>
              <w:rPr>
                <w:i/>
              </w:rPr>
              <w:t>candidatura</w:t>
            </w:r>
            <w:proofErr w:type="gramEnd"/>
            <w:r>
              <w:rPr>
                <w:i/>
              </w:rPr>
              <w:t xml:space="preserve"> individual, não sendo admitida a composição de chapas;</w:t>
            </w:r>
          </w:p>
          <w:p w:rsidR="00341747" w:rsidRDefault="00341747">
            <w:pPr>
              <w:pStyle w:val="Standard"/>
              <w:jc w:val="both"/>
              <w:rPr>
                <w:i/>
              </w:rPr>
            </w:pPr>
          </w:p>
          <w:p w:rsidR="00341747" w:rsidRDefault="00A359D9">
            <w:pPr>
              <w:pStyle w:val="Standard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III - fiscal</w:t>
            </w:r>
            <w:r>
              <w:rPr>
                <w:b/>
                <w:i/>
              </w:rPr>
              <w:t>ização pelo Ministério Público;</w:t>
            </w:r>
          </w:p>
        </w:tc>
      </w:tr>
    </w:tbl>
    <w:p w:rsidR="00341747" w:rsidRDefault="00341747">
      <w:pPr>
        <w:pStyle w:val="Standard"/>
        <w:ind w:firstLine="1417"/>
        <w:jc w:val="both"/>
        <w:rPr>
          <w:b/>
        </w:rPr>
      </w:pPr>
    </w:p>
    <w:p w:rsidR="00341747" w:rsidRDefault="00A359D9">
      <w:pPr>
        <w:pStyle w:val="Standard"/>
        <w:ind w:firstLine="1417"/>
        <w:jc w:val="both"/>
      </w:pPr>
      <w:r>
        <w:t>No próximo dia 06 de outubro de 2019</w:t>
      </w:r>
      <w:r w:rsidR="00AA4322">
        <w:rPr>
          <w:rStyle w:val="Refdenotaderodap"/>
        </w:rPr>
        <w:footnoteReference w:id="2"/>
      </w:r>
      <w:r>
        <w:t>, acontecerá em todo o país o processo unificado de escolha dos membros do Conselho Tutelar e, consequentemente, essa eleição ocorrerá na cidade de ************.</w:t>
      </w:r>
    </w:p>
    <w:p w:rsidR="00341747" w:rsidRDefault="00341747">
      <w:pPr>
        <w:pStyle w:val="Standard"/>
        <w:ind w:firstLine="1417"/>
        <w:jc w:val="both"/>
        <w:rPr>
          <w:i/>
        </w:rPr>
      </w:pPr>
    </w:p>
    <w:p w:rsidR="00341747" w:rsidRDefault="00A359D9">
      <w:pPr>
        <w:pStyle w:val="Standard"/>
        <w:ind w:firstLine="1417"/>
        <w:jc w:val="both"/>
      </w:pPr>
      <w:r>
        <w:t>No caso desta cidade, o</w:t>
      </w:r>
      <w:r>
        <w:t xml:space="preserve"> Conselho Municipal dos Direitos da Criança e dos Adolescentes emitiu o Edital nº 01/2019, dispondo no Item 10 acerca da impugnação às candidaturas e o seu processamento perante a Comissão Especial Eleitoral, e o Item 11 previu as regras para a campanha el</w:t>
      </w:r>
      <w:r>
        <w:t xml:space="preserve">eitoral, dispondo no subitem 11.12 que: </w:t>
      </w:r>
      <w:r>
        <w:rPr>
          <w:i/>
        </w:rPr>
        <w:t>"a violação das regras</w:t>
      </w:r>
      <w:r>
        <w:t xml:space="preserve"> </w:t>
      </w:r>
      <w:r>
        <w:rPr>
          <w:i/>
        </w:rPr>
        <w:t xml:space="preserve">de campanha importará na </w:t>
      </w:r>
      <w:r>
        <w:rPr>
          <w:b/>
          <w:i/>
        </w:rPr>
        <w:t>cassação do registro da candidatura ou diploma de posse do candidato responsável</w:t>
      </w:r>
      <w:r>
        <w:rPr>
          <w:i/>
        </w:rPr>
        <w:t xml:space="preserve">, após a instauração de procedimento administrativo no qual seja garantido ao candidato </w:t>
      </w:r>
      <w:r>
        <w:rPr>
          <w:i/>
        </w:rPr>
        <w:t>o exercício do contraditório e da ampla defesa".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Pois bem. Para complementar essa disposição, o CMDCA de ************ publicou a Resolução nº 03/2019, que dispôs sobre as condutas vedadas aos candidatos durante o processo de escolha dos Membros do Conselh</w:t>
      </w:r>
      <w:r>
        <w:t>o Tutelar.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E, após a publicação dos candidatos aptos ao processo, a Comissão Especial Eleitoral se reuniu com eles e lhes deu c</w:t>
      </w:r>
      <w:bookmarkStart w:id="0" w:name="_GoBack"/>
      <w:bookmarkEnd w:id="0"/>
      <w:r>
        <w:t>onhecimento formal das regras do processo de escolha, tendo os candidatos firmado o compromisso de respeitá-las, sob as penas da</w:t>
      </w:r>
      <w:r>
        <w:t xml:space="preserve"> legislação local.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 xml:space="preserve">Ocorre que o candidato ********************, mesmo ciente de que estava </w:t>
      </w:r>
      <w:r>
        <w:lastRenderedPageBreak/>
        <w:t>praticando uma conduta vedada e mesmo tendo prestado o compromisso de respeitar as regras do processo de escolha, doou cestas básicas para famílias carentes desta c</w:t>
      </w:r>
      <w:r>
        <w:t>idade durante o período de campanha eleitoral, e se valeu das fotografias retiradas na realização destes atos de doação para se auto promover nas redes sociais, onde o candidato ostenta perfil com informações claras sobre a sua candidatura ao Conselho Tute</w:t>
      </w:r>
      <w:r>
        <w:t>lar.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 xml:space="preserve">Assim agindo, ele </w:t>
      </w:r>
      <w:proofErr w:type="spellStart"/>
      <w:r>
        <w:t>incindiu</w:t>
      </w:r>
      <w:proofErr w:type="spellEnd"/>
      <w:r>
        <w:t xml:space="preserve"> na disposição do art. 2º, "da Campanha para Escolha", letra "a", da Resolução nº 03/2019 do CMDCA, que dispõe ser vedado aos candidatos habilitados ao Processo de Escolha dos Membros do Conselho Tutelar de 2019, </w:t>
      </w:r>
      <w:r>
        <w:rPr>
          <w:b/>
          <w:i/>
        </w:rPr>
        <w:t xml:space="preserve">distribuir </w:t>
      </w:r>
      <w:r>
        <w:rPr>
          <w:b/>
          <w:i/>
        </w:rPr>
        <w:t>cestas básicas ou quaisquer outros bens ou materiais que possam proporcionar vantagem ao eleitor</w:t>
      </w:r>
      <w:r>
        <w:rPr>
          <w:i/>
        </w:rPr>
        <w:t>.</w:t>
      </w:r>
      <w:r>
        <w:t xml:space="preserve">   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Tal dispositivo não exige que o candidato faça a doação em troca de votos, mas apenas veda que, durante a campanha eleitoral, eles façam doações, distribu</w:t>
      </w:r>
      <w:r>
        <w:t>ições ou entregas de bens ou materiais de quaisquer espécies, pois já se sabe que haverá um desequilíbrio no processo eleitoral se os candidatos puderem agradar os eleitores.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 xml:space="preserve">No caso em exame, </w:t>
      </w:r>
      <w:r>
        <w:rPr>
          <w:b/>
        </w:rPr>
        <w:t>********************</w:t>
      </w:r>
      <w:r>
        <w:t xml:space="preserve"> se valeu de um suposto ato de bondade par</w:t>
      </w:r>
      <w:r>
        <w:t>a se promover socialmente e, com isso, angariar mais votos. O que ele chamou de doação nada mais foi do que uma troca, pois, em contrapartida à entrega das cestas básicas, ele pediu para fotografar as famílias pobres recebendo os alimentos das mãos dele, j</w:t>
      </w:r>
      <w:r>
        <w:t>ustamente para postar estas fotos nas redes sociais e se promover por meio delas.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Logo, ele incorreu gravemente em conduta vedada e violou o compromisso que firmou perante a Comissão Eleitoral, de respeitar as regras do processo, devendo ter a candidatura</w:t>
      </w:r>
      <w:r>
        <w:t xml:space="preserve"> cassada, na forma do art. 3º da Resolução nº 03/2019-CMDCA:</w:t>
      </w:r>
    </w:p>
    <w:p w:rsidR="00341747" w:rsidRDefault="00341747">
      <w:pPr>
        <w:pStyle w:val="Standard"/>
        <w:ind w:firstLine="1417"/>
        <w:jc w:val="both"/>
      </w:pPr>
    </w:p>
    <w:tbl>
      <w:tblPr>
        <w:tblW w:w="7229" w:type="dxa"/>
        <w:tblInd w:w="13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9"/>
      </w:tblGrid>
      <w:tr w:rsidR="00341747">
        <w:tblPrEx>
          <w:tblCellMar>
            <w:top w:w="0" w:type="dxa"/>
            <w:bottom w:w="0" w:type="dxa"/>
          </w:tblCellMar>
        </w:tblPrEx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1747" w:rsidRDefault="00A359D9">
            <w:pPr>
              <w:pStyle w:val="Standard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ART. 32 - O desrespeito às regras apontadas no art. 2º desta Resolução caracterizará inidoneidade moral, deixando </w:t>
            </w:r>
            <w:proofErr w:type="gramStart"/>
            <w:r>
              <w:rPr>
                <w:b/>
                <w:i/>
              </w:rPr>
              <w:t>o(</w:t>
            </w:r>
            <w:proofErr w:type="gramEnd"/>
            <w:r>
              <w:rPr>
                <w:b/>
                <w:i/>
              </w:rPr>
              <w:t>a) candidato(a) passível de impugnação da candidatura, por conta da inobservân</w:t>
            </w:r>
            <w:r>
              <w:rPr>
                <w:b/>
                <w:i/>
              </w:rPr>
              <w:t>cia do requisito previsto no art. 133, inciso I, da Lei Federal nº 8.069/90 (Estatuto da Criança e do Adolescente).</w:t>
            </w:r>
          </w:p>
        </w:tc>
      </w:tr>
    </w:tbl>
    <w:p w:rsidR="00341747" w:rsidRDefault="00A359D9">
      <w:pPr>
        <w:pStyle w:val="Standard"/>
        <w:ind w:firstLine="1417"/>
        <w:jc w:val="both"/>
      </w:pPr>
      <w:r>
        <w:t xml:space="preserve"> </w:t>
      </w:r>
    </w:p>
    <w:p w:rsidR="00341747" w:rsidRDefault="00A359D9">
      <w:pPr>
        <w:pStyle w:val="Standard"/>
        <w:spacing w:line="0" w:lineRule="atLeast"/>
        <w:ind w:firstLine="1417"/>
        <w:jc w:val="both"/>
        <w:rPr>
          <w:color w:val="000000"/>
        </w:rPr>
      </w:pPr>
      <w:r>
        <w:rPr>
          <w:color w:val="000000"/>
        </w:rPr>
        <w:t>É evidente a importância do Conselho Tutelar no sistema de proteção à infância e juventude de uma localidade. Desnecessário tecer maiores</w:t>
      </w:r>
      <w:r>
        <w:rPr>
          <w:color w:val="000000"/>
        </w:rPr>
        <w:t xml:space="preserve"> comentários sobre esse braço forte da Justiça </w:t>
      </w:r>
      <w:proofErr w:type="spellStart"/>
      <w:r>
        <w:rPr>
          <w:color w:val="000000"/>
        </w:rPr>
        <w:t>Menorista</w:t>
      </w:r>
      <w:proofErr w:type="spellEnd"/>
      <w:r>
        <w:rPr>
          <w:color w:val="000000"/>
        </w:rPr>
        <w:t>.</w:t>
      </w:r>
    </w:p>
    <w:p w:rsidR="00341747" w:rsidRDefault="00341747">
      <w:pPr>
        <w:pStyle w:val="Standard"/>
        <w:ind w:firstLine="1417"/>
        <w:jc w:val="both"/>
        <w:rPr>
          <w:color w:val="000000"/>
        </w:rPr>
      </w:pPr>
    </w:p>
    <w:p w:rsidR="00341747" w:rsidRDefault="00A359D9">
      <w:pPr>
        <w:pStyle w:val="Standard"/>
        <w:ind w:firstLine="1417"/>
        <w:jc w:val="both"/>
        <w:rPr>
          <w:color w:val="000000"/>
        </w:rPr>
      </w:pPr>
      <w:r>
        <w:rPr>
          <w:color w:val="000000"/>
        </w:rPr>
        <w:t xml:space="preserve">As palavras de Jason Albergaria, citado por Wilson </w:t>
      </w:r>
      <w:proofErr w:type="spellStart"/>
      <w:r>
        <w:rPr>
          <w:color w:val="000000"/>
        </w:rPr>
        <w:t>Donizeti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Liberatti</w:t>
      </w:r>
      <w:proofErr w:type="spellEnd"/>
      <w:r>
        <w:rPr>
          <w:color w:val="000000"/>
        </w:rPr>
        <w:t>, resumem bem tal assunto:</w:t>
      </w:r>
    </w:p>
    <w:p w:rsidR="00341747" w:rsidRDefault="00341747">
      <w:pPr>
        <w:pStyle w:val="Standard"/>
        <w:jc w:val="both"/>
        <w:rPr>
          <w:color w:val="000000"/>
        </w:rPr>
      </w:pPr>
    </w:p>
    <w:tbl>
      <w:tblPr>
        <w:tblW w:w="7213" w:type="dxa"/>
        <w:tblInd w:w="13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3"/>
      </w:tblGrid>
      <w:tr w:rsidR="00341747">
        <w:tblPrEx>
          <w:tblCellMar>
            <w:top w:w="0" w:type="dxa"/>
            <w:bottom w:w="0" w:type="dxa"/>
          </w:tblCellMar>
        </w:tblPrEx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747" w:rsidRDefault="00A359D9">
            <w:pPr>
              <w:pStyle w:val="Standard"/>
              <w:jc w:val="both"/>
            </w:pPr>
            <w:r>
              <w:rPr>
                <w:i/>
                <w:color w:val="000000"/>
              </w:rPr>
              <w:t xml:space="preserve">“Ao tratar das atribuições do Conselho, Albergaria comenta que elas 'ressaltam a sua alta </w:t>
            </w:r>
            <w:r>
              <w:rPr>
                <w:i/>
                <w:color w:val="000000"/>
              </w:rPr>
              <w:t xml:space="preserve">responsabilidade na execução da política tutelar do menor, exigindo de seus membros, além da idoneidade moral, vocação para o trabalho social e trato com os problemas humanos, familiaridade com o Direito do Menor, psicologia clínica e pedagogia </w:t>
            </w:r>
            <w:proofErr w:type="spellStart"/>
            <w:r>
              <w:rPr>
                <w:i/>
                <w:color w:val="000000"/>
              </w:rPr>
              <w:t>emendativa</w:t>
            </w:r>
            <w:proofErr w:type="spellEnd"/>
            <w:r>
              <w:rPr>
                <w:i/>
                <w:color w:val="000000"/>
              </w:rPr>
              <w:t>”</w:t>
            </w:r>
            <w:r>
              <w:rPr>
                <w:i/>
                <w:color w:val="000000"/>
              </w:rPr>
              <w:t xml:space="preserve">. </w:t>
            </w:r>
            <w:r>
              <w:rPr>
                <w:i/>
                <w:color w:val="000000"/>
              </w:rPr>
              <w:lastRenderedPageBreak/>
              <w:t>(Albergaria, J., p. 141)</w:t>
            </w:r>
            <w:r>
              <w:rPr>
                <w:rStyle w:val="Refdenotaderodap"/>
                <w:i/>
                <w:color w:val="000000"/>
              </w:rPr>
              <w:footnoteReference w:id="3"/>
            </w:r>
          </w:p>
        </w:tc>
      </w:tr>
    </w:tbl>
    <w:p w:rsidR="00341747" w:rsidRDefault="00341747">
      <w:pPr>
        <w:pStyle w:val="Standard"/>
        <w:jc w:val="both"/>
        <w:rPr>
          <w:color w:val="000000"/>
        </w:rPr>
      </w:pPr>
    </w:p>
    <w:p w:rsidR="00341747" w:rsidRDefault="00A359D9">
      <w:pPr>
        <w:pStyle w:val="Standard"/>
        <w:ind w:firstLine="1417"/>
        <w:jc w:val="both"/>
        <w:rPr>
          <w:color w:val="000000"/>
        </w:rPr>
      </w:pPr>
      <w:r>
        <w:rPr>
          <w:color w:val="000000"/>
        </w:rPr>
        <w:t xml:space="preserve">A ausência do requisito legal de idoneidade moral (art. 133, I, ECA) é causa para decreto judicial de perda de mandato, mas também leva a exclusão do candidato, conforme inúmeros precedentes jurisprudenciais.   </w:t>
      </w:r>
    </w:p>
    <w:p w:rsidR="00341747" w:rsidRDefault="00341747">
      <w:pPr>
        <w:pStyle w:val="Standard"/>
        <w:ind w:firstLine="1417"/>
        <w:jc w:val="both"/>
        <w:rPr>
          <w:color w:val="000000"/>
        </w:rPr>
      </w:pPr>
    </w:p>
    <w:p w:rsidR="00341747" w:rsidRDefault="00A359D9">
      <w:pPr>
        <w:pStyle w:val="Standard"/>
        <w:ind w:firstLine="1417"/>
        <w:jc w:val="both"/>
        <w:rPr>
          <w:color w:val="000000"/>
        </w:rPr>
      </w:pPr>
      <w:r>
        <w:rPr>
          <w:color w:val="000000"/>
        </w:rPr>
        <w:t>De fato, n</w:t>
      </w:r>
      <w:r>
        <w:rPr>
          <w:color w:val="000000"/>
        </w:rPr>
        <w:t>ão se pode, dentro do complexo de atribuições delegadas aos Conselheiros, admitir um membro que revele inclinação para prática de atos imorais de qualquer espécie. É do trato com crianças e adolescentes que estamos falando! Daí a cláusula legal que express</w:t>
      </w:r>
      <w:r>
        <w:rPr>
          <w:color w:val="000000"/>
        </w:rPr>
        <w:t xml:space="preserve">a até um </w:t>
      </w:r>
      <w:proofErr w:type="spellStart"/>
      <w:r>
        <w:rPr>
          <w:color w:val="000000"/>
        </w:rPr>
        <w:t>plus</w:t>
      </w:r>
      <w:proofErr w:type="spellEnd"/>
      <w:r>
        <w:rPr>
          <w:color w:val="000000"/>
        </w:rPr>
        <w:t xml:space="preserve"> de idoneidade ao referir que “será exigida reconhecida idoneidade moral”.</w:t>
      </w:r>
    </w:p>
    <w:p w:rsidR="00341747" w:rsidRDefault="00341747">
      <w:pPr>
        <w:pStyle w:val="Standard"/>
        <w:ind w:firstLine="1417"/>
        <w:jc w:val="both"/>
        <w:rPr>
          <w:color w:val="000000"/>
        </w:rPr>
      </w:pPr>
    </w:p>
    <w:p w:rsidR="00341747" w:rsidRDefault="00A359D9">
      <w:pPr>
        <w:pStyle w:val="Standard"/>
        <w:ind w:firstLine="1417"/>
        <w:jc w:val="both"/>
        <w:rPr>
          <w:color w:val="000000"/>
        </w:rPr>
      </w:pPr>
      <w:r>
        <w:rPr>
          <w:color w:val="000000"/>
        </w:rPr>
        <w:t>A cláusula legal aberta possibilita uma compreensão abrangente (como deve ser, ante a relevância do cargo) sobre o que se pretende verificar na conduta social do cand</w:t>
      </w:r>
      <w:r>
        <w:rPr>
          <w:color w:val="000000"/>
        </w:rPr>
        <w:t>idato ou conselheiro. E os precedentes jurisprudenciais dão o tom da discussão:</w:t>
      </w:r>
    </w:p>
    <w:p w:rsidR="00341747" w:rsidRDefault="00341747">
      <w:pPr>
        <w:pStyle w:val="Standard"/>
        <w:jc w:val="both"/>
        <w:rPr>
          <w:color w:val="000000"/>
        </w:rPr>
      </w:pPr>
    </w:p>
    <w:tbl>
      <w:tblPr>
        <w:tblW w:w="7252" w:type="dxa"/>
        <w:tblInd w:w="13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2"/>
      </w:tblGrid>
      <w:tr w:rsidR="00341747">
        <w:tblPrEx>
          <w:tblCellMar>
            <w:top w:w="0" w:type="dxa"/>
            <w:bottom w:w="0" w:type="dxa"/>
          </w:tblCellMar>
        </w:tblPrEx>
        <w:tc>
          <w:tcPr>
            <w:tcW w:w="7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1747" w:rsidRDefault="00A359D9">
            <w:pPr>
              <w:pStyle w:val="Corpodotex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APELAÇÃO CÍVIL. AÇÃO CIVIL PÚBLICA. MUNICÍPIO DE VACARIA. CONSELHEIRO TUTELAR. DESTITUIÇÃO. AUSÊNCIA DE IDONEIDADE PARA O EXERCÍCIO DO CARGO. O cargo de Conselheiro Tutelar </w:t>
            </w:r>
            <w:r>
              <w:rPr>
                <w:i/>
              </w:rPr>
              <w:t>exige idoneidade moral, na forma do artigo 133, I, do Estatuto Criança e do Adolescente, e à vista do conteúdo da prova testemunhal e documental, mostra-se correta a sentença que julgou a demanda procedente, ao efeito de determinar a destituição do cargo d</w:t>
            </w:r>
            <w:r>
              <w:rPr>
                <w:i/>
              </w:rPr>
              <w:t xml:space="preserve">o réu. Negaram provimento ao apelo. Unânime. (Apelação Cível Nº 70061827101, Quarta Câmara Cível, Tribunal de Justiça do RS, Relator: Alexandre </w:t>
            </w:r>
            <w:proofErr w:type="spellStart"/>
            <w:r>
              <w:rPr>
                <w:i/>
              </w:rPr>
              <w:t>Mussoi</w:t>
            </w:r>
            <w:proofErr w:type="spellEnd"/>
            <w:r>
              <w:rPr>
                <w:i/>
              </w:rPr>
              <w:t xml:space="preserve"> Moreira, Julgado em 31/08/2016). (TJ-RS - AC: 70061827101 RS, Relator: Alexandre </w:t>
            </w:r>
            <w:proofErr w:type="spellStart"/>
            <w:r>
              <w:rPr>
                <w:i/>
              </w:rPr>
              <w:t>Mussoi</w:t>
            </w:r>
            <w:proofErr w:type="spellEnd"/>
            <w:r>
              <w:rPr>
                <w:i/>
              </w:rPr>
              <w:t xml:space="preserve"> Moreira, Data de </w:t>
            </w:r>
            <w:r>
              <w:rPr>
                <w:i/>
              </w:rPr>
              <w:t>Julgamento: 31/08/2016, Quarta Câmara Cível, Data de Publicação: Diário da Justiça do dia 08/09/2016)</w:t>
            </w:r>
          </w:p>
          <w:p w:rsidR="00341747" w:rsidRDefault="00341747">
            <w:pPr>
              <w:pStyle w:val="Corpodotexto"/>
              <w:spacing w:after="0" w:line="240" w:lineRule="auto"/>
              <w:jc w:val="both"/>
              <w:rPr>
                <w:i/>
              </w:rPr>
            </w:pPr>
          </w:p>
          <w:p w:rsidR="00341747" w:rsidRDefault="00A359D9">
            <w:pPr>
              <w:pStyle w:val="Corpodotexto"/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***********************************************************</w:t>
            </w:r>
          </w:p>
          <w:p w:rsidR="00341747" w:rsidRDefault="00341747">
            <w:pPr>
              <w:pStyle w:val="Corpodotexto"/>
              <w:spacing w:after="0" w:line="240" w:lineRule="auto"/>
              <w:jc w:val="both"/>
              <w:rPr>
                <w:i/>
              </w:rPr>
            </w:pPr>
          </w:p>
          <w:p w:rsidR="00341747" w:rsidRDefault="00A359D9">
            <w:pPr>
              <w:pStyle w:val="Corpodotexto"/>
              <w:spacing w:after="0" w:line="240" w:lineRule="auto"/>
              <w:jc w:val="both"/>
            </w:pPr>
            <w:r>
              <w:rPr>
                <w:i/>
              </w:rPr>
              <w:t>APELAÇÃO Ação Civil Pública Destituição de Conselheira Tutelar Conduta incompatível com o ex</w:t>
            </w:r>
            <w:r>
              <w:rPr>
                <w:i/>
              </w:rPr>
              <w:t>ercício das funções - Irregularidades praticadas no dia da eleição ao Conselho Tutelar e durante o exercício do cargo de conselheira - Pretensão de inversão do julgamento Impossibilidade Farta prova a confirmar os termos da petição inicial - Comprovação do</w:t>
            </w:r>
            <w:r>
              <w:rPr>
                <w:i/>
              </w:rPr>
              <w:t xml:space="preserve"> transporte de eleitores até o local de votação, do uso do cargo para promoção de campanha política, do recebimento de cabos eleitorais no prédio do Conselho, do uso de veículos e telefones, e desvio de cestas básicas - Condutas que caracterizam comportame</w:t>
            </w:r>
            <w:r>
              <w:rPr>
                <w:i/>
              </w:rPr>
              <w:t xml:space="preserve">nto inidôneo para as funções de integrantes do Conselho Tutelar Aplicação correta da </w:t>
            </w:r>
            <w:r>
              <w:rPr>
                <w:i/>
              </w:rPr>
              <w:lastRenderedPageBreak/>
              <w:t>Lei Municipal nº 31/1995 - Não provimento do recurso. (TJ-SP - APL: 27828020088260654 SP 0002782-80.2008.8.26.0654, Relator: Maria Olívia Alves, Data de Julgamento: 30/01/</w:t>
            </w:r>
            <w:r>
              <w:rPr>
                <w:i/>
              </w:rPr>
              <w:t>2012, Câmara Especial, Data de Publicação: 02/02/2012)</w:t>
            </w:r>
          </w:p>
        </w:tc>
      </w:tr>
    </w:tbl>
    <w:p w:rsidR="00341747" w:rsidRDefault="00341747">
      <w:pPr>
        <w:pStyle w:val="Standard"/>
        <w:ind w:firstLine="1417"/>
        <w:jc w:val="both"/>
        <w:rPr>
          <w:color w:val="000000"/>
        </w:rPr>
      </w:pPr>
    </w:p>
    <w:p w:rsidR="00341747" w:rsidRDefault="00A359D9">
      <w:pPr>
        <w:pStyle w:val="Standard"/>
        <w:ind w:firstLine="1417"/>
        <w:jc w:val="both"/>
        <w:rPr>
          <w:color w:val="000000"/>
        </w:rPr>
      </w:pPr>
      <w:r>
        <w:rPr>
          <w:color w:val="000000"/>
        </w:rPr>
        <w:t xml:space="preserve">Ora, a amostragem acima aponta nitidamente para a firme posição jurisprudencial de filtrar os quadros do Conselho Tutelar, pelo lídimo controle jurisdicional (repressivo ou preventivo) da idoneidade </w:t>
      </w:r>
      <w:r>
        <w:rPr>
          <w:color w:val="000000"/>
        </w:rPr>
        <w:t>de seus membros.</w:t>
      </w:r>
    </w:p>
    <w:p w:rsidR="00341747" w:rsidRDefault="00341747">
      <w:pPr>
        <w:pStyle w:val="Standard"/>
        <w:ind w:firstLine="1417"/>
        <w:jc w:val="both"/>
        <w:rPr>
          <w:color w:val="000000"/>
        </w:rPr>
      </w:pPr>
    </w:p>
    <w:p w:rsidR="00341747" w:rsidRDefault="00A359D9">
      <w:pPr>
        <w:pStyle w:val="Standard"/>
        <w:ind w:firstLine="1417"/>
        <w:jc w:val="both"/>
      </w:pPr>
      <w:r>
        <w:rPr>
          <w:b/>
          <w:color w:val="000000"/>
        </w:rPr>
        <w:t>No caso em análise, ficou demonstrado que ******************** violou a disposição do art. 2º, letra "a", da Resolução nº 03/2019 do CMDCA, que dispôs ser vedado aos candidatos habilitados ao Processo de Escolha dos Membros do Conselho Tu</w:t>
      </w:r>
      <w:r>
        <w:rPr>
          <w:b/>
          <w:color w:val="000000"/>
        </w:rPr>
        <w:t>telar de 2019, DISTRIBUIR CESTAS BÁSICAS OU QUAISQUER OUTROS BENS OU MATERIAIS QUE POSSAM PROPORCIONAR VANTAGEM AO ELEITOR</w:t>
      </w:r>
      <w:r>
        <w:rPr>
          <w:b/>
          <w:i/>
          <w:color w:val="000000"/>
        </w:rPr>
        <w:t xml:space="preserve">. </w:t>
      </w:r>
      <w:r>
        <w:rPr>
          <w:b/>
          <w:color w:val="000000"/>
        </w:rPr>
        <w:t xml:space="preserve">E, por conta disso, ele deve ter o </w:t>
      </w:r>
      <w:r>
        <w:rPr>
          <w:b/>
          <w:color w:val="000000"/>
          <w:u w:val="single"/>
        </w:rPr>
        <w:t>registro cassado</w:t>
      </w:r>
      <w:r>
        <w:rPr>
          <w:b/>
          <w:color w:val="000000"/>
        </w:rPr>
        <w:t xml:space="preserve"> ou, caso eleito antes dessa decisão, deve ser </w:t>
      </w:r>
      <w:r>
        <w:rPr>
          <w:b/>
          <w:color w:val="000000"/>
          <w:u w:val="single"/>
        </w:rPr>
        <w:t>destituído do mandato</w:t>
      </w:r>
      <w:r>
        <w:rPr>
          <w:b/>
          <w:color w:val="000000"/>
        </w:rPr>
        <w:t>, pois incorr</w:t>
      </w:r>
      <w:r>
        <w:rPr>
          <w:b/>
          <w:color w:val="000000"/>
        </w:rPr>
        <w:t>eu em conduta vedada durante a eleição e se valeu de atos de distribuição de bens para se auto promover e angariar votos, atos estes incompatíveis com a idoneidade moral exigida dos membros do Conselho Tutelar.</w:t>
      </w:r>
    </w:p>
    <w:p w:rsidR="00341747" w:rsidRDefault="00341747">
      <w:pPr>
        <w:pStyle w:val="Standard"/>
        <w:ind w:firstLine="1417"/>
        <w:jc w:val="both"/>
        <w:rPr>
          <w:i/>
        </w:rPr>
      </w:pPr>
    </w:p>
    <w:p w:rsidR="00341747" w:rsidRDefault="00A359D9">
      <w:pPr>
        <w:pStyle w:val="Standard"/>
        <w:jc w:val="both"/>
        <w:rPr>
          <w:b/>
          <w:shd w:val="clear" w:color="auto" w:fill="B0B0B0"/>
        </w:rPr>
      </w:pPr>
      <w:r>
        <w:rPr>
          <w:b/>
          <w:shd w:val="clear" w:color="auto" w:fill="B0B0B0"/>
        </w:rPr>
        <w:t xml:space="preserve">3. DA MEDIDA LIMINAR:                      </w:t>
      </w:r>
      <w:r>
        <w:rPr>
          <w:b/>
          <w:shd w:val="clear" w:color="auto" w:fill="B0B0B0"/>
        </w:rPr>
        <w:t xml:space="preserve">                                                                           </w:t>
      </w:r>
    </w:p>
    <w:p w:rsidR="00341747" w:rsidRDefault="00341747">
      <w:pPr>
        <w:pStyle w:val="Standard"/>
        <w:ind w:firstLine="1417"/>
        <w:jc w:val="both"/>
        <w:rPr>
          <w:i/>
        </w:rPr>
      </w:pPr>
    </w:p>
    <w:p w:rsidR="00341747" w:rsidRDefault="00A359D9">
      <w:pPr>
        <w:pStyle w:val="Standard"/>
        <w:ind w:firstLine="1417"/>
        <w:jc w:val="both"/>
      </w:pPr>
      <w:r>
        <w:rPr>
          <w:color w:val="000000"/>
        </w:rPr>
        <w:t xml:space="preserve">Impõe-se, no caso presente, a concessão de medida liminar, pois perfeitamente caracterizados os pressupostos para sua concessão, quais sejam, o </w:t>
      </w:r>
      <w:r>
        <w:rPr>
          <w:i/>
          <w:color w:val="000000"/>
        </w:rPr>
        <w:t>fumus boni juris</w:t>
      </w:r>
      <w:r>
        <w:rPr>
          <w:color w:val="000000"/>
        </w:rPr>
        <w:t xml:space="preserve"> e o </w:t>
      </w:r>
      <w:r>
        <w:rPr>
          <w:i/>
          <w:color w:val="000000"/>
        </w:rPr>
        <w:t>periculum in mora</w:t>
      </w:r>
      <w:r>
        <w:rPr>
          <w:color w:val="000000"/>
        </w:rPr>
        <w:t>.</w:t>
      </w:r>
    </w:p>
    <w:p w:rsidR="00341747" w:rsidRDefault="00341747">
      <w:pPr>
        <w:pStyle w:val="Standard"/>
        <w:ind w:firstLine="1417"/>
        <w:jc w:val="both"/>
        <w:rPr>
          <w:color w:val="000000"/>
        </w:rPr>
      </w:pPr>
    </w:p>
    <w:p w:rsidR="00341747" w:rsidRDefault="00A359D9">
      <w:pPr>
        <w:pStyle w:val="Standard"/>
        <w:ind w:firstLine="1417"/>
        <w:jc w:val="both"/>
      </w:pPr>
      <w:r>
        <w:rPr>
          <w:color w:val="000000"/>
        </w:rPr>
        <w:t xml:space="preserve">O </w:t>
      </w:r>
      <w:r>
        <w:rPr>
          <w:i/>
          <w:color w:val="000000"/>
        </w:rPr>
        <w:t>fumus boni juris</w:t>
      </w:r>
      <w:r>
        <w:rPr>
          <w:color w:val="000000"/>
        </w:rPr>
        <w:t xml:space="preserve"> caracteriza-se pela demonstração cabal da distribuição de cestas básicas durante a campanha e pela submissão dessa conduta às regras das condutas vedadas.</w:t>
      </w:r>
    </w:p>
    <w:p w:rsidR="00341747" w:rsidRDefault="00341747">
      <w:pPr>
        <w:pStyle w:val="Standard"/>
        <w:ind w:firstLine="1417"/>
        <w:jc w:val="both"/>
        <w:rPr>
          <w:color w:val="000000"/>
        </w:rPr>
      </w:pPr>
    </w:p>
    <w:p w:rsidR="00341747" w:rsidRDefault="00A359D9">
      <w:pPr>
        <w:pStyle w:val="Standard"/>
        <w:ind w:firstLine="1417"/>
        <w:jc w:val="both"/>
      </w:pPr>
      <w:r>
        <w:rPr>
          <w:color w:val="000000"/>
        </w:rPr>
        <w:t xml:space="preserve">Não há como negar, de outra parte, o </w:t>
      </w:r>
      <w:r>
        <w:rPr>
          <w:i/>
          <w:color w:val="000000"/>
        </w:rPr>
        <w:t>periculum in mora</w:t>
      </w:r>
      <w:r>
        <w:rPr>
          <w:color w:val="000000"/>
        </w:rPr>
        <w:t xml:space="preserve">. Sem dúvida, não é razoável admitir-se que o requerido (caso eleito) </w:t>
      </w:r>
      <w:proofErr w:type="spellStart"/>
      <w:r>
        <w:rPr>
          <w:color w:val="000000"/>
        </w:rPr>
        <w:t>assuma</w:t>
      </w:r>
      <w:proofErr w:type="spellEnd"/>
      <w:r>
        <w:rPr>
          <w:color w:val="000000"/>
        </w:rPr>
        <w:t xml:space="preserve"> o posto em voga, sujeitando a sociedade e o público infantojuvenil, até o provimento jurisdicional definitivo, ao contato com um agente público que galgou tal posto por meio de ex</w:t>
      </w:r>
      <w:r>
        <w:rPr>
          <w:color w:val="000000"/>
        </w:rPr>
        <w:t>pedientes vedados.</w:t>
      </w:r>
    </w:p>
    <w:p w:rsidR="00341747" w:rsidRDefault="00341747">
      <w:pPr>
        <w:pStyle w:val="Standard"/>
        <w:ind w:firstLine="1417"/>
        <w:jc w:val="both"/>
        <w:rPr>
          <w:color w:val="000000"/>
        </w:rPr>
      </w:pPr>
    </w:p>
    <w:p w:rsidR="00341747" w:rsidRDefault="00A359D9">
      <w:pPr>
        <w:pStyle w:val="Standard"/>
        <w:ind w:firstLine="1417"/>
        <w:jc w:val="both"/>
        <w:rPr>
          <w:color w:val="000000"/>
        </w:rPr>
      </w:pPr>
      <w:r>
        <w:rPr>
          <w:color w:val="000000"/>
        </w:rPr>
        <w:t>Isso sem contar os contratempos que serão verificados caso o requerido seja empossado e inicie suas atividades com a comunidade local, as quais serão incorrigivelmente anuladas, com prejuízo para as crianças e adolescentes envolvidos.</w:t>
      </w:r>
    </w:p>
    <w:p w:rsidR="00341747" w:rsidRDefault="00341747">
      <w:pPr>
        <w:pStyle w:val="Standard"/>
        <w:ind w:firstLine="1417"/>
        <w:jc w:val="both"/>
        <w:rPr>
          <w:color w:val="000000"/>
        </w:rPr>
      </w:pPr>
    </w:p>
    <w:p w:rsidR="00341747" w:rsidRDefault="00A359D9">
      <w:pPr>
        <w:pStyle w:val="Standard"/>
        <w:ind w:firstLine="1417"/>
        <w:jc w:val="both"/>
        <w:rPr>
          <w:color w:val="000000"/>
        </w:rPr>
      </w:pPr>
      <w:r>
        <w:rPr>
          <w:color w:val="000000"/>
        </w:rPr>
        <w:t>Imprescindível, portanto, a concessão da medida liminar, de forma a realizar o controle preventivo da moralidade para o cargo de Conselheiro Tutelar, até final provimento jurisdicional.</w:t>
      </w:r>
    </w:p>
    <w:p w:rsidR="00341747" w:rsidRDefault="00341747">
      <w:pPr>
        <w:pStyle w:val="Standard"/>
        <w:ind w:firstLine="1417"/>
        <w:jc w:val="both"/>
        <w:rPr>
          <w:color w:val="000000"/>
        </w:rPr>
      </w:pPr>
    </w:p>
    <w:p w:rsidR="00341747" w:rsidRDefault="00A359D9">
      <w:pPr>
        <w:pStyle w:val="Standard"/>
        <w:ind w:firstLine="1417"/>
        <w:jc w:val="both"/>
        <w:rPr>
          <w:color w:val="000000"/>
        </w:rPr>
      </w:pPr>
      <w:r>
        <w:rPr>
          <w:color w:val="000000"/>
        </w:rPr>
        <w:t>O requerimento cautelar do MINISTÉRIO PÚBLICO, assim, é no sentido</w:t>
      </w:r>
      <w:r>
        <w:rPr>
          <w:color w:val="000000"/>
        </w:rPr>
        <w:t xml:space="preserve"> de que:</w:t>
      </w:r>
    </w:p>
    <w:p w:rsidR="00341747" w:rsidRDefault="00341747">
      <w:pPr>
        <w:pStyle w:val="Standard"/>
        <w:ind w:firstLine="1417"/>
        <w:jc w:val="both"/>
        <w:rPr>
          <w:color w:val="000000"/>
        </w:rPr>
      </w:pPr>
    </w:p>
    <w:p w:rsidR="00341747" w:rsidRDefault="00A359D9">
      <w:pPr>
        <w:pStyle w:val="Standard"/>
        <w:ind w:firstLine="1417"/>
        <w:jc w:val="both"/>
      </w:pPr>
      <w:r>
        <w:rPr>
          <w:color w:val="000000"/>
        </w:rPr>
        <w:t xml:space="preserve">1) seja determinado ao CMDCA de ************ que grafe, em todos os atos do certame, ao lado do nome do requerido </w:t>
      </w:r>
      <w:r>
        <w:rPr>
          <w:b/>
          <w:color w:val="000000"/>
        </w:rPr>
        <w:t>********************</w:t>
      </w:r>
      <w:r>
        <w:rPr>
          <w:color w:val="000000"/>
        </w:rPr>
        <w:t xml:space="preserve"> o termo “candidatura sob processo </w:t>
      </w:r>
      <w:r>
        <w:rPr>
          <w:color w:val="000000"/>
        </w:rPr>
        <w:lastRenderedPageBreak/>
        <w:t>judicial” ou outro termo similar que, a critério do Juízo, possa identificar</w:t>
      </w:r>
      <w:r>
        <w:rPr>
          <w:color w:val="000000"/>
        </w:rPr>
        <w:t xml:space="preserve"> a pendência que recai sobre a candidatura;</w:t>
      </w:r>
    </w:p>
    <w:p w:rsidR="00341747" w:rsidRDefault="00341747">
      <w:pPr>
        <w:pStyle w:val="Standard"/>
        <w:ind w:firstLine="1417"/>
        <w:jc w:val="both"/>
        <w:rPr>
          <w:color w:val="000000"/>
        </w:rPr>
      </w:pPr>
    </w:p>
    <w:p w:rsidR="00341747" w:rsidRDefault="00A359D9">
      <w:pPr>
        <w:pStyle w:val="Standard"/>
        <w:ind w:firstLine="1417"/>
        <w:jc w:val="both"/>
      </w:pPr>
      <w:r>
        <w:rPr>
          <w:color w:val="000000"/>
        </w:rPr>
        <w:t>2) caso ultrapassada a etapa da eleição e a candidatura impugnada permaneça entre as mais votadas (titulares e suplentes), seja o CMDCA e Sr. Prefeito de ************ notificados a não nomear e não empossar o ca</w:t>
      </w:r>
      <w:r>
        <w:rPr>
          <w:color w:val="000000"/>
        </w:rPr>
        <w:t xml:space="preserve">ndidato </w:t>
      </w:r>
      <w:r>
        <w:rPr>
          <w:b/>
          <w:color w:val="000000"/>
        </w:rPr>
        <w:t>********************</w:t>
      </w:r>
      <w:r>
        <w:rPr>
          <w:color w:val="000000"/>
        </w:rPr>
        <w:t>, até julgamento final da causa.</w:t>
      </w:r>
    </w:p>
    <w:p w:rsidR="00341747" w:rsidRDefault="00341747">
      <w:pPr>
        <w:pStyle w:val="Standard"/>
        <w:ind w:firstLine="1417"/>
        <w:jc w:val="both"/>
        <w:rPr>
          <w:i/>
        </w:rPr>
      </w:pPr>
    </w:p>
    <w:p w:rsidR="00341747" w:rsidRDefault="00A359D9">
      <w:pPr>
        <w:pStyle w:val="Standard"/>
        <w:jc w:val="both"/>
        <w:rPr>
          <w:b/>
          <w:shd w:val="clear" w:color="auto" w:fill="B0B0B0"/>
        </w:rPr>
      </w:pPr>
      <w:r>
        <w:rPr>
          <w:b/>
          <w:shd w:val="clear" w:color="auto" w:fill="B0B0B0"/>
        </w:rPr>
        <w:t xml:space="preserve">4. DOS PEDIDOS:                                                                                                                 </w:t>
      </w:r>
    </w:p>
    <w:p w:rsidR="00341747" w:rsidRDefault="00A359D9">
      <w:pPr>
        <w:pStyle w:val="Standard"/>
        <w:ind w:firstLine="1417"/>
        <w:jc w:val="both"/>
      </w:pPr>
      <w:r>
        <w:t xml:space="preserve"> </w:t>
      </w:r>
    </w:p>
    <w:p w:rsidR="00341747" w:rsidRDefault="00A359D9">
      <w:pPr>
        <w:pStyle w:val="Standard"/>
        <w:ind w:firstLine="1417"/>
        <w:jc w:val="both"/>
      </w:pPr>
      <w:r>
        <w:t>Ante o exposto, e com fulcro nas Resoluções nº 01/2019 e 03/201</w:t>
      </w:r>
      <w:r>
        <w:t>9 do CMDCA de ************, pede o Ministério Público: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 xml:space="preserve">a) a concessão de MEDIDA LIMINAR, inaudita altera </w:t>
      </w:r>
      <w:proofErr w:type="spellStart"/>
      <w:r>
        <w:t>pars</w:t>
      </w:r>
      <w:proofErr w:type="spellEnd"/>
      <w:r>
        <w:t>, nos termos do art. 213, § 1º do Estatuto da Criança e do Adolescente e art. 12 da Lei n. 7.347/85, determinando-se as práticas descritas acima;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b) a citação do requerido para, querendo, ofertar resposta no prazo legal, sob pena de revelia e confissão;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c) a intimação do Município para, querendo, participar da lide como litisconsorte ativo;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d) ao cabo da regular instrução processual (sendo o c</w:t>
      </w:r>
      <w:r>
        <w:t xml:space="preserve">aso), a </w:t>
      </w:r>
      <w:r>
        <w:rPr>
          <w:b/>
        </w:rPr>
        <w:t>PROCEDÊNCIA</w:t>
      </w:r>
      <w:r>
        <w:t xml:space="preserve"> do presente pedido, a fim de, confirmando-se a liminar deferida, SEJA </w:t>
      </w:r>
      <w:r>
        <w:rPr>
          <w:b/>
        </w:rPr>
        <w:t>CASSADO O REGISTRO DE CANDIDATURA DE ********************</w:t>
      </w:r>
      <w:r>
        <w:t xml:space="preserve">, determinando-se, em </w:t>
      </w:r>
      <w:proofErr w:type="spellStart"/>
      <w:r>
        <w:t>conseqüência</w:t>
      </w:r>
      <w:proofErr w:type="spellEnd"/>
      <w:r>
        <w:t>: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d.1) ao CMDCA, sua exclusão definitiva do rol de candidatos;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 xml:space="preserve">d.2) ao </w:t>
      </w:r>
      <w:r>
        <w:t>Município de ************, na pessoa de seu representante legal, a vedação de nomeação do requerido, se eventualmente escolhido pelo voto da população e, caso já empossado na época da decisão final, que seja determinada a anulação dos atos de nomeação e po</w:t>
      </w:r>
      <w:r>
        <w:t>sse, com a nomeação e posse do suplente imediato.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e) Protesta pela apresentação das provas já produzidas no Procedimento Administrativo nº *</w:t>
      </w:r>
      <w:proofErr w:type="gramStart"/>
      <w:r>
        <w:t>*.*</w:t>
      </w:r>
      <w:proofErr w:type="gramEnd"/>
      <w:r>
        <w:t>***.********-**, bem como por todas as que sejam admitidas em direito.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 xml:space="preserve">Dá-se à causa, para todos os fins, o </w:t>
      </w:r>
      <w:r>
        <w:t>valor de R$ 998,00 (novecentos e noventa e oito) reais, embora inestimáveis os bens jurídicos em questão.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Pede e espera deferimento.</w:t>
      </w:r>
    </w:p>
    <w:p w:rsidR="00341747" w:rsidRDefault="00341747">
      <w:pPr>
        <w:pStyle w:val="Standard"/>
        <w:ind w:firstLine="1417"/>
        <w:jc w:val="both"/>
      </w:pPr>
    </w:p>
    <w:p w:rsidR="00341747" w:rsidRDefault="00A359D9">
      <w:pPr>
        <w:pStyle w:val="Standard"/>
        <w:ind w:firstLine="1417"/>
        <w:jc w:val="both"/>
      </w:pPr>
      <w:r>
        <w:t>************-CE, 30 de setembro de 2019.</w:t>
      </w:r>
    </w:p>
    <w:p w:rsidR="00341747" w:rsidRDefault="00341747">
      <w:pPr>
        <w:pStyle w:val="Standard"/>
        <w:ind w:firstLine="1417"/>
        <w:jc w:val="both"/>
      </w:pPr>
    </w:p>
    <w:p w:rsidR="00341747" w:rsidRDefault="00341747">
      <w:pPr>
        <w:pStyle w:val="Standard"/>
        <w:ind w:firstLine="1417"/>
        <w:jc w:val="center"/>
        <w:rPr>
          <w:b/>
          <w:i/>
        </w:rPr>
      </w:pPr>
    </w:p>
    <w:p w:rsidR="00341747" w:rsidRDefault="00A359D9">
      <w:pPr>
        <w:pStyle w:val="Standard"/>
        <w:jc w:val="center"/>
        <w:rPr>
          <w:b/>
          <w:i/>
        </w:rPr>
      </w:pPr>
      <w:proofErr w:type="spellStart"/>
      <w:r>
        <w:rPr>
          <w:b/>
          <w:i/>
        </w:rPr>
        <w:t>Cleyton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Bantim</w:t>
      </w:r>
      <w:proofErr w:type="spellEnd"/>
      <w:r>
        <w:rPr>
          <w:b/>
          <w:i/>
        </w:rPr>
        <w:t xml:space="preserve"> da Cruz</w:t>
      </w:r>
    </w:p>
    <w:p w:rsidR="00341747" w:rsidRDefault="00A359D9">
      <w:pPr>
        <w:pStyle w:val="Standard"/>
        <w:jc w:val="center"/>
        <w:rPr>
          <w:b/>
          <w:i/>
        </w:rPr>
      </w:pPr>
      <w:r>
        <w:rPr>
          <w:b/>
          <w:i/>
        </w:rPr>
        <w:t>Promotor de Justiça</w:t>
      </w:r>
    </w:p>
    <w:p w:rsidR="00341747" w:rsidRDefault="00A359D9">
      <w:pPr>
        <w:pStyle w:val="Standard"/>
        <w:jc w:val="center"/>
        <w:rPr>
          <w:i/>
          <w:sz w:val="20"/>
        </w:rPr>
      </w:pPr>
      <w:r>
        <w:rPr>
          <w:i/>
          <w:sz w:val="20"/>
        </w:rPr>
        <w:lastRenderedPageBreak/>
        <w:t>Assinado com Certificado Digital</w:t>
      </w:r>
    </w:p>
    <w:p w:rsidR="00341747" w:rsidRDefault="00341747">
      <w:pPr>
        <w:pStyle w:val="Standard"/>
        <w:jc w:val="both"/>
      </w:pPr>
    </w:p>
    <w:p w:rsidR="00341747" w:rsidRDefault="00341747">
      <w:pPr>
        <w:pStyle w:val="Standard"/>
        <w:jc w:val="both"/>
      </w:pPr>
    </w:p>
    <w:p w:rsidR="00341747" w:rsidRDefault="00341747">
      <w:pPr>
        <w:pStyle w:val="Standard"/>
        <w:jc w:val="both"/>
      </w:pPr>
    </w:p>
    <w:p w:rsidR="00341747" w:rsidRDefault="00341747">
      <w:pPr>
        <w:pStyle w:val="Standard"/>
        <w:jc w:val="both"/>
      </w:pPr>
    </w:p>
    <w:p w:rsidR="00341747" w:rsidRDefault="00341747">
      <w:pPr>
        <w:pStyle w:val="Standard"/>
        <w:jc w:val="both"/>
      </w:pPr>
    </w:p>
    <w:p w:rsidR="00341747" w:rsidRDefault="00341747">
      <w:pPr>
        <w:pStyle w:val="Standard"/>
        <w:jc w:val="both"/>
      </w:pPr>
    </w:p>
    <w:p w:rsidR="00341747" w:rsidRDefault="00A359D9">
      <w:pPr>
        <w:pStyle w:val="Standard"/>
        <w:jc w:val="both"/>
        <w:rPr>
          <w:b/>
          <w:shd w:val="clear" w:color="auto" w:fill="B0B0B0"/>
        </w:rPr>
      </w:pPr>
      <w:r>
        <w:rPr>
          <w:b/>
          <w:shd w:val="clear" w:color="auto" w:fill="B0B0B0"/>
        </w:rPr>
        <w:t>TESTEMUNHAS:</w:t>
      </w:r>
    </w:p>
    <w:p w:rsidR="00341747" w:rsidRDefault="00341747">
      <w:pPr>
        <w:pStyle w:val="Standard"/>
        <w:jc w:val="both"/>
        <w:rPr>
          <w:b/>
        </w:rPr>
      </w:pPr>
    </w:p>
    <w:p w:rsidR="00341747" w:rsidRDefault="00A359D9">
      <w:pPr>
        <w:pStyle w:val="Standard"/>
        <w:jc w:val="both"/>
        <w:rPr>
          <w:b/>
        </w:rPr>
      </w:pPr>
      <w:r>
        <w:rPr>
          <w:b/>
        </w:rPr>
        <w:t>*************</w:t>
      </w:r>
    </w:p>
    <w:p w:rsidR="00341747" w:rsidRDefault="00341747">
      <w:pPr>
        <w:pStyle w:val="Standard"/>
        <w:jc w:val="both"/>
        <w:rPr>
          <w:b/>
        </w:rPr>
      </w:pPr>
    </w:p>
    <w:p w:rsidR="00341747" w:rsidRDefault="00A359D9">
      <w:pPr>
        <w:pStyle w:val="Standard"/>
        <w:jc w:val="both"/>
        <w:rPr>
          <w:b/>
        </w:rPr>
      </w:pPr>
      <w:r>
        <w:rPr>
          <w:b/>
        </w:rPr>
        <w:t>***************</w:t>
      </w:r>
    </w:p>
    <w:p w:rsidR="00341747" w:rsidRDefault="00341747">
      <w:pPr>
        <w:pStyle w:val="Standard"/>
        <w:rPr>
          <w:b/>
        </w:rPr>
      </w:pPr>
    </w:p>
    <w:p w:rsidR="00341747" w:rsidRDefault="00341747">
      <w:pPr>
        <w:pStyle w:val="Standard"/>
      </w:pPr>
    </w:p>
    <w:sectPr w:rsidR="00341747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9D9" w:rsidRDefault="00A359D9">
      <w:r>
        <w:separator/>
      </w:r>
    </w:p>
  </w:endnote>
  <w:endnote w:type="continuationSeparator" w:id="0">
    <w:p w:rsidR="00A359D9" w:rsidRDefault="00A3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9D9" w:rsidRDefault="00A359D9">
      <w:r>
        <w:rPr>
          <w:color w:val="000000"/>
        </w:rPr>
        <w:ptab w:relativeTo="margin" w:alignment="center" w:leader="none"/>
      </w:r>
    </w:p>
  </w:footnote>
  <w:footnote w:type="continuationSeparator" w:id="0">
    <w:p w:rsidR="00A359D9" w:rsidRDefault="00A359D9">
      <w:r>
        <w:continuationSeparator/>
      </w:r>
    </w:p>
  </w:footnote>
  <w:footnote w:id="1">
    <w:p w:rsidR="00AA4322" w:rsidRDefault="00AA4322">
      <w:pPr>
        <w:pStyle w:val="Textodenotaderodap"/>
      </w:pPr>
      <w:r w:rsidRPr="00AA4322">
        <w:rPr>
          <w:rStyle w:val="Refdenotaderodap"/>
          <w:color w:val="00B0F0"/>
        </w:rPr>
        <w:footnoteRef/>
      </w:r>
      <w:r w:rsidRPr="00AA4322">
        <w:rPr>
          <w:color w:val="00B0F0"/>
        </w:rPr>
        <w:t xml:space="preserve"> Esclarecemos que a Resolução 170 do Conanda foi substituída pela Resolução 231 de 2022.</w:t>
      </w:r>
    </w:p>
  </w:footnote>
  <w:footnote w:id="2">
    <w:p w:rsidR="00AA4322" w:rsidRDefault="00AA432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A4322">
        <w:rPr>
          <w:color w:val="00B0F0"/>
        </w:rPr>
        <w:t>O pleito de 2023 ocorrerá no dia 01 de outubro.</w:t>
      </w:r>
    </w:p>
  </w:footnote>
  <w:footnote w:id="3">
    <w:p w:rsidR="00341747" w:rsidRDefault="00A359D9">
      <w:pPr>
        <w:pStyle w:val="Standard"/>
      </w:pPr>
      <w:r>
        <w:rPr>
          <w:rStyle w:val="Refdenotaderodap"/>
        </w:rPr>
        <w:footnoteRef/>
      </w:r>
    </w:p>
    <w:p w:rsidR="00341747" w:rsidRDefault="00341747">
      <w:pPr>
        <w:pStyle w:val="Footnote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79A" w:rsidRDefault="00A359D9">
    <w:pPr>
      <w:pStyle w:val="Standard"/>
    </w:pPr>
  </w:p>
  <w:p w:rsidR="00D6279A" w:rsidRDefault="00A359D9">
    <w:pPr>
      <w:pStyle w:val="Cabealho"/>
    </w:pPr>
  </w:p>
  <w:tbl>
    <w:tblPr>
      <w:tblW w:w="907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76"/>
    </w:tblGrid>
    <w:tr w:rsidR="00D6279A">
      <w:tblPrEx>
        <w:tblCellMar>
          <w:top w:w="0" w:type="dxa"/>
          <w:bottom w:w="0" w:type="dxa"/>
        </w:tblCellMar>
      </w:tblPrEx>
      <w:tc>
        <w:tcPr>
          <w:tcW w:w="90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D6279A" w:rsidRDefault="00A359D9">
          <w:pPr>
            <w:pStyle w:val="Cabealho"/>
            <w:jc w:val="center"/>
          </w:pPr>
          <w:r>
            <w:object w:dxaOrig="8868" w:dyaOrig="1051" w14:anchorId="633949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to2" o:spid="_x0000_i1025" type="#_x0000_t75" alt="Objeto OLE" style="width:443.55pt;height:52.7pt;visibility:visible;mso-wrap-style:square" o:ole="">
                <v:imagedata r:id="rId1" o:title="Objeto OLE"/>
              </v:shape>
              <o:OLEObject Type="Embed" ProgID="Unknown" ShapeID="Objeto2" DrawAspect="Content" ObjectID="_1743304446" r:id="rId2"/>
            </w:object>
          </w:r>
          <w:r>
            <w:rPr>
              <w:rFonts w:ascii="Arial Narrow" w:eastAsia="Arial Narrow" w:hAnsi="Arial Narrow" w:cs="Arial Narrow"/>
              <w:b/>
              <w:bCs/>
              <w:sz w:val="26"/>
              <w:szCs w:val="26"/>
            </w:rPr>
            <w:t xml:space="preserve">  </w:t>
          </w:r>
        </w:p>
        <w:p w:rsidR="00D6279A" w:rsidRDefault="00A359D9">
          <w:pPr>
            <w:pStyle w:val="Cabealho"/>
            <w:jc w:val="center"/>
            <w:rPr>
              <w:rFonts w:cs="Arial Narrow"/>
              <w:b/>
              <w:bCs/>
            </w:rPr>
          </w:pPr>
          <w:r>
            <w:rPr>
              <w:rFonts w:cs="Arial Narrow"/>
              <w:b/>
              <w:bCs/>
            </w:rPr>
            <w:t>Promotoria de Justiça de ************</w:t>
          </w:r>
        </w:p>
      </w:tc>
    </w:tr>
  </w:tbl>
  <w:p w:rsidR="00D6279A" w:rsidRDefault="00A359D9">
    <w:pPr>
      <w:pStyle w:val="Standard"/>
      <w:jc w:val="center"/>
      <w:rPr>
        <w:b/>
      </w:rPr>
    </w:pPr>
  </w:p>
  <w:p w:rsidR="00D6279A" w:rsidRDefault="00A359D9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41747"/>
    <w:rsid w:val="00341747"/>
    <w:rsid w:val="009E6EA2"/>
    <w:rsid w:val="00A359D9"/>
    <w:rsid w:val="00AA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7EB82-FE7B-4805-81EF-769F0E44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pPr>
      <w:widowControl/>
    </w:pPr>
    <w:rPr>
      <w:rFonts w:eastAsia="Symbol" w:cs="Liberation Sans"/>
      <w:sz w:val="20"/>
    </w:rPr>
  </w:style>
  <w:style w:type="paragraph" w:customStyle="1" w:styleId="Corpodotexto">
    <w:name w:val="Corpo do texto"/>
    <w:pPr>
      <w:widowControl/>
      <w:spacing w:after="140" w:line="276" w:lineRule="auto"/>
    </w:pPr>
    <w:rPr>
      <w:rFonts w:eastAsia="Symbol" w:cs="Liberation Sans"/>
    </w:rPr>
  </w:style>
  <w:style w:type="paragraph" w:customStyle="1" w:styleId="Footnote0">
    <w:name w:val="Footnote"/>
    <w:basedOn w:val="Standard"/>
  </w:style>
  <w:style w:type="paragraph" w:styleId="Cabealho">
    <w:name w:val="header"/>
    <w:basedOn w:val="Standard"/>
  </w:style>
  <w:style w:type="paragraph" w:customStyle="1" w:styleId="TableContents">
    <w:name w:val="Table Contents"/>
    <w:basedOn w:val="Standard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32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3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FD4C4D1-7AE0-4584-B4D5-C9F9975B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2181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3</cp:revision>
  <dcterms:created xsi:type="dcterms:W3CDTF">2023-04-18T09:13:00Z</dcterms:created>
  <dcterms:modified xsi:type="dcterms:W3CDTF">2023-04-18T09:28:00Z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dcategoria">
    <vt:lpwstr>9</vt:lpwstr>
  </property>
  <property fmtid="{D5CDD505-2E9C-101B-9397-08002B2CF9AE}" pid="7" name="cddocumento">
    <vt:lpwstr>679631</vt:lpwstr>
  </property>
  <property fmtid="{D5CDD505-2E9C-101B-9397-08002B2CF9AE}" pid="8" name="cdimagem">
    <vt:lpwstr>3</vt:lpwstr>
  </property>
  <property fmtid="{D5CDD505-2E9C-101B-9397-08002B2CF9AE}" pid="9" name="cdmodelo">
    <vt:lpwstr>714060</vt:lpwstr>
  </property>
  <property fmtid="{D5CDD505-2E9C-101B-9397-08002B2CF9AE}" pid="10" name="cdprocesso">
    <vt:lpwstr>MG0000ISD0000</vt:lpwstr>
  </property>
  <property fmtid="{D5CDD505-2E9C-101B-9397-08002B2CF9AE}" pid="11" name="cdtipoobjeto">
    <vt:lpwstr>0</vt:lpwstr>
  </property>
  <property fmtid="{D5CDD505-2E9C-101B-9397-08002B2CF9AE}" pid="12" name="cdusucriacao">
    <vt:lpwstr>CLEYTON.CRUZ</vt:lpwstr>
  </property>
  <property fmtid="{D5CDD505-2E9C-101B-9397-08002B2CF9AE}" pid="13" name="cdusuemedicao">
    <vt:lpwstr>CLEYTON.CRUZ</vt:lpwstr>
  </property>
  <property fmtid="{D5CDD505-2E9C-101B-9397-08002B2CF9AE}" pid="14" name="deipemedicao">
    <vt:lpwstr>192.168.0.110</vt:lpwstr>
  </property>
  <property fmtid="{D5CDD505-2E9C-101B-9397-08002B2CF9AE}" pid="15" name="deslocamentodepaginas">
    <vt:lpwstr>0</vt:lpwstr>
  </property>
  <property fmtid="{D5CDD505-2E9C-101B-9397-08002B2CF9AE}" pid="16" name="dtcriacaodoc">
    <vt:lpwstr>30/09/2019 10:08:22</vt:lpwstr>
  </property>
  <property fmtid="{D5CDD505-2E9C-101B-9397-08002B2CF9AE}" pid="17" name="dthrultalteracao">
    <vt:lpwstr>30/09/2019 13:30:48</vt:lpwstr>
  </property>
  <property fmtid="{D5CDD505-2E9C-101B-9397-08002B2CF9AE}" pid="18" name="filaatual">
    <vt:lpwstr>-999</vt:lpwstr>
  </property>
  <property fmtid="{D5CDD505-2E9C-101B-9397-08002B2CF9AE}" pid="19" name="filadestino">
    <vt:lpwstr>-999</vt:lpwstr>
  </property>
  <property fmtid="{D5CDD505-2E9C-101B-9397-08002B2CF9AE}" pid="20" name="flemitear">
    <vt:lpwstr>N</vt:lpwstr>
  </property>
  <property fmtid="{D5CDD505-2E9C-101B-9397-08002B2CF9AE}" pid="21" name="fluxotrabalhopai">
    <vt:lpwstr>-999</vt:lpwstr>
  </property>
  <property fmtid="{D5CDD505-2E9C-101B-9397-08002B2CF9AE}" pid="22" name="grupofluxotrabalhopai">
    <vt:lpwstr>-999</vt:lpwstr>
  </property>
  <property fmtid="{D5CDD505-2E9C-101B-9397-08002B2CF9AE}" pid="23" name="imprimir_cabecalho">
    <vt:lpwstr>Todas</vt:lpwstr>
  </property>
  <property fmtid="{D5CDD505-2E9C-101B-9397-08002B2CF9AE}" pid="24" name="naoquebrarpaginaemtabelas">
    <vt:lpwstr>N</vt:lpwstr>
  </property>
  <property fmtid="{D5CDD505-2E9C-101B-9397-08002B2CF9AE}" pid="25" name="nmarquivo">
    <vt:lpwstr>PETIÇÃO - IMPUGNAÇÃO DE CANDIDATURA - CONSELHO TUTELAR [09.2019.00001689-9]</vt:lpwstr>
  </property>
  <property fmtid="{D5CDD505-2E9C-101B-9397-08002B2CF9AE}" pid="26" name="nmmodelo">
    <vt:lpwstr>???</vt:lpwstr>
  </property>
  <property fmtid="{D5CDD505-2E9C-101B-9397-08002B2CF9AE}" pid="27" name="numeroversao">
    <vt:lpwstr>3.1.1-13</vt:lpwstr>
  </property>
  <property fmtid="{D5CDD505-2E9C-101B-9397-08002B2CF9AE}" pid="28" name="nuprocesso">
    <vt:lpwstr>09.2019.00001689-9</vt:lpwstr>
  </property>
  <property fmtid="{D5CDD505-2E9C-101B-9397-08002B2CF9AE}" pid="29" name="nuprocessosemformatacao">
    <vt:lpwstr>092019000016899</vt:lpwstr>
  </property>
  <property fmtid="{D5CDD505-2E9C-101B-9397-08002B2CF9AE}" pid="30" name="nurecurso">
    <vt:lpwstr>00000</vt:lpwstr>
  </property>
  <property fmtid="{D5CDD505-2E9C-101B-9397-08002B2CF9AE}" pid="31" name="nuseqhist_atual">
    <vt:lpwstr>-999</vt:lpwstr>
  </property>
  <property fmtid="{D5CDD505-2E9C-101B-9397-08002B2CF9AE}" pid="32" name="nuseqhist_pai">
    <vt:lpwstr>-999</vt:lpwstr>
  </property>
  <property fmtid="{D5CDD505-2E9C-101B-9397-08002B2CF9AE}" pid="33" name="quantidade_paginas">
    <vt:lpwstr>9</vt:lpwstr>
  </property>
  <property fmtid="{D5CDD505-2E9C-101B-9397-08002B2CF9AE}" pid="34" name="sgmodelo">
    <vt:lpwstr>???</vt:lpwstr>
  </property>
  <property fmtid="{D5CDD505-2E9C-101B-9397-08002B2CF9AE}" pid="35" name="somenteleitura">
    <vt:lpwstr>N</vt:lpwstr>
  </property>
  <property fmtid="{D5CDD505-2E9C-101B-9397-08002B2CF9AE}" pid="36" name="ultimo_auto_salvamento">
    <vt:lpwstr>30/09/2019 13:31:02</vt:lpwstr>
  </property>
  <property fmtid="{D5CDD505-2E9C-101B-9397-08002B2CF9AE}" pid="37" name="ultimo_salvamento">
    <vt:lpwstr>30/09/2019 13:31:02</vt:lpwstr>
  </property>
</Properties>
</file>